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9099BF">
      <w:pPr>
        <w:spacing w:after="0" w:line="360" w:lineRule="auto"/>
        <w:jc w:val="center"/>
        <w:rPr>
          <w:rFonts w:ascii="楷体" w:hAnsi="楷体" w:eastAsia="楷体" w:cs="楷体"/>
          <w:b/>
          <w:bCs/>
          <w:sz w:val="24"/>
          <w:szCs w:val="24"/>
          <w:lang w:eastAsia="zh-CN"/>
        </w:rPr>
      </w:pPr>
      <w:r>
        <w:rPr>
          <w:rFonts w:hint="eastAsia" w:ascii="楷体" w:hAnsi="楷体" w:eastAsia="楷体" w:cs="楷体"/>
          <w:b/>
          <w:bCs/>
          <w:sz w:val="36"/>
          <w:szCs w:val="36"/>
          <w:lang w:eastAsia="zh-CN"/>
        </w:rPr>
        <w:t>常州齐梁项目管理有限公司(喷涂产业园）10kV变电所增容工程量清单及招标控制价编制说明</w:t>
      </w:r>
    </w:p>
    <w:p w14:paraId="7084B00A">
      <w:pPr>
        <w:spacing w:after="0" w:line="360" w:lineRule="auto"/>
        <w:rPr>
          <w:rFonts w:ascii="楷体" w:hAnsi="楷体" w:eastAsia="楷体" w:cs="楷体"/>
          <w:b/>
          <w:bCs/>
          <w:sz w:val="24"/>
          <w:szCs w:val="24"/>
          <w:lang w:eastAsia="zh-CN"/>
        </w:rPr>
      </w:pPr>
      <w:r>
        <w:rPr>
          <w:rFonts w:hint="eastAsia" w:ascii="楷体" w:hAnsi="楷体" w:eastAsia="楷体" w:cs="楷体"/>
          <w:b/>
          <w:bCs/>
          <w:sz w:val="24"/>
          <w:szCs w:val="24"/>
          <w:lang w:eastAsia="zh-CN"/>
        </w:rPr>
        <w:t>一、编制范围</w:t>
      </w:r>
    </w:p>
    <w:p w14:paraId="0C18976F">
      <w:pPr>
        <w:spacing w:after="0" w:line="360" w:lineRule="auto"/>
        <w:ind w:firstLine="480" w:firstLineChars="200"/>
        <w:rPr>
          <w:rFonts w:ascii="楷体" w:hAnsi="楷体" w:eastAsia="楷体" w:cs="楷体"/>
          <w:sz w:val="24"/>
          <w:szCs w:val="24"/>
          <w:lang w:eastAsia="zh-CN"/>
        </w:rPr>
      </w:pPr>
      <w:r>
        <w:rPr>
          <w:rFonts w:hint="eastAsia" w:ascii="楷体" w:hAnsi="楷体" w:eastAsia="楷体" w:cs="楷体"/>
          <w:sz w:val="24"/>
          <w:szCs w:val="24"/>
          <w:lang w:eastAsia="zh-CN"/>
        </w:rPr>
        <w:t>工程量清单范围内的全部工程。</w:t>
      </w:r>
    </w:p>
    <w:p w14:paraId="0CDA748A">
      <w:pPr>
        <w:spacing w:after="0" w:line="360" w:lineRule="auto"/>
        <w:rPr>
          <w:rFonts w:ascii="楷体" w:hAnsi="楷体" w:eastAsia="楷体" w:cs="楷体"/>
          <w:b/>
          <w:sz w:val="24"/>
          <w:szCs w:val="24"/>
          <w:lang w:eastAsia="zh-CN"/>
        </w:rPr>
      </w:pPr>
      <w:r>
        <w:rPr>
          <w:rFonts w:hint="eastAsia" w:ascii="楷体" w:hAnsi="楷体" w:eastAsia="楷体" w:cs="楷体"/>
          <w:b/>
          <w:bCs/>
          <w:sz w:val="24"/>
          <w:szCs w:val="24"/>
          <w:lang w:eastAsia="zh-CN"/>
        </w:rPr>
        <w:t>二、编制依据</w:t>
      </w:r>
    </w:p>
    <w:p w14:paraId="20286227">
      <w:pPr>
        <w:spacing w:after="0" w:line="360" w:lineRule="auto"/>
        <w:ind w:firstLine="480" w:firstLineChars="200"/>
        <w:rPr>
          <w:rFonts w:ascii="楷体" w:hAnsi="楷体" w:eastAsia="楷体" w:cs="楷体"/>
          <w:sz w:val="24"/>
          <w:szCs w:val="24"/>
          <w:lang w:eastAsia="zh-CN"/>
        </w:rPr>
      </w:pPr>
      <w:r>
        <w:rPr>
          <w:rFonts w:hint="eastAsia" w:ascii="楷体" w:hAnsi="楷体" w:eastAsia="楷体" w:cs="楷体"/>
          <w:sz w:val="24"/>
          <w:szCs w:val="24"/>
          <w:lang w:eastAsia="zh-CN"/>
        </w:rPr>
        <w:t>1、委托方提供的设计施工图纸、招标文件、编制要求、标底答疑、设计图纸问题回复、会议纪要等。</w:t>
      </w:r>
    </w:p>
    <w:p w14:paraId="2627AA85">
      <w:pPr>
        <w:spacing w:after="0" w:line="360" w:lineRule="auto"/>
        <w:ind w:firstLine="480" w:firstLineChars="200"/>
        <w:rPr>
          <w:rFonts w:ascii="楷体" w:hAnsi="楷体" w:eastAsia="楷体" w:cs="楷体"/>
          <w:sz w:val="24"/>
          <w:szCs w:val="24"/>
          <w:lang w:eastAsia="zh-CN"/>
        </w:rPr>
      </w:pPr>
      <w:r>
        <w:rPr>
          <w:rFonts w:hint="eastAsia" w:ascii="楷体" w:hAnsi="楷体" w:eastAsia="楷体" w:cs="楷体"/>
          <w:sz w:val="24"/>
          <w:szCs w:val="24"/>
          <w:lang w:eastAsia="zh-CN"/>
        </w:rPr>
        <w:t>2、《建设工程工程量清单计价规范》GB50500-2013、《房屋建筑与装饰工程工程量计算规则》(GB50854-2013)、《通用安装工程工程量计算规范》（GB50856-2013）、《市政工程工程量计算规则》(GB50857-2013)、《园林绿化工程工程量计算规范》(GB50858-2013)、《江苏省建筑与装饰工程计价定额》（2014年）、《江苏省安装工程计价定额》（2014年）、《江苏省市政工程计价定额》（2014 年）、《江苏省仿古建筑与园林工程计价表》（2007江苏省园林定额）、《江苏省建设工程费用定额》（2014年）、《省住房城乡建设厅关于建筑业实施营改增后江苏省建设工程计价依据调整的通知》（常建（2016）94号）。</w:t>
      </w:r>
    </w:p>
    <w:p w14:paraId="1B966D4D">
      <w:pPr>
        <w:spacing w:after="0" w:line="360" w:lineRule="auto"/>
        <w:ind w:firstLine="480" w:firstLineChars="200"/>
        <w:rPr>
          <w:rFonts w:ascii="楷体" w:hAnsi="楷体" w:eastAsia="楷体" w:cs="楷体"/>
          <w:sz w:val="24"/>
          <w:szCs w:val="24"/>
          <w:lang w:eastAsia="zh-CN"/>
        </w:rPr>
      </w:pPr>
      <w:r>
        <w:rPr>
          <w:rFonts w:hint="eastAsia" w:ascii="楷体" w:hAnsi="楷体" w:eastAsia="楷体" w:cs="楷体"/>
          <w:sz w:val="24"/>
          <w:szCs w:val="24"/>
          <w:lang w:eastAsia="zh-CN"/>
        </w:rPr>
        <w:t>3、相关费率：措施项目、规费、税金按常建（2014）279号文、苏建价（2014）448号文、苏建价〔2016〕154号文、苏建价函（2019）178号文、常建（2019）1号文等规范、文件。</w:t>
      </w:r>
    </w:p>
    <w:p w14:paraId="49998206">
      <w:pPr>
        <w:spacing w:after="0" w:line="360" w:lineRule="auto"/>
        <w:ind w:firstLine="480" w:firstLineChars="200"/>
        <w:rPr>
          <w:rFonts w:ascii="楷体" w:hAnsi="楷体" w:eastAsia="楷体" w:cs="楷体"/>
          <w:sz w:val="24"/>
          <w:szCs w:val="24"/>
          <w:highlight w:val="none"/>
          <w:lang w:eastAsia="zh-CN"/>
        </w:rPr>
      </w:pPr>
      <w:r>
        <w:rPr>
          <w:rFonts w:hint="eastAsia" w:ascii="楷体" w:hAnsi="楷体" w:eastAsia="楷体" w:cs="楷体"/>
          <w:sz w:val="24"/>
          <w:szCs w:val="24"/>
          <w:lang w:eastAsia="zh-CN"/>
        </w:rPr>
        <w:t>4、人工工资单价按苏</w:t>
      </w:r>
      <w:r>
        <w:rPr>
          <w:rFonts w:hint="eastAsia" w:ascii="楷体" w:hAnsi="楷体" w:eastAsia="楷体" w:cs="楷体"/>
          <w:sz w:val="24"/>
          <w:szCs w:val="24"/>
          <w:highlight w:val="none"/>
          <w:lang w:eastAsia="zh-CN"/>
        </w:rPr>
        <w:t>建函价</w:t>
      </w:r>
      <w:r>
        <w:rPr>
          <w:rFonts w:hint="eastAsia" w:ascii="楷体" w:hAnsi="楷体" w:eastAsia="楷体" w:cs="楷体"/>
          <w:bCs/>
          <w:sz w:val="24"/>
          <w:szCs w:val="24"/>
          <w:highlight w:val="none"/>
          <w:lang w:eastAsia="zh-CN"/>
        </w:rPr>
        <w:t>〔202</w:t>
      </w:r>
      <w:r>
        <w:rPr>
          <w:rFonts w:hint="eastAsia" w:ascii="楷体" w:hAnsi="楷体" w:eastAsia="楷体" w:cs="楷体"/>
          <w:bCs/>
          <w:sz w:val="24"/>
          <w:szCs w:val="24"/>
          <w:highlight w:val="none"/>
          <w:lang w:val="en-US" w:eastAsia="zh-CN"/>
        </w:rPr>
        <w:t>6</w:t>
      </w:r>
      <w:r>
        <w:rPr>
          <w:rFonts w:hint="eastAsia" w:ascii="楷体" w:hAnsi="楷体" w:eastAsia="楷体" w:cs="楷体"/>
          <w:bCs/>
          <w:sz w:val="24"/>
          <w:szCs w:val="24"/>
          <w:highlight w:val="none"/>
          <w:lang w:eastAsia="zh-CN"/>
        </w:rPr>
        <w:t>〕</w:t>
      </w:r>
      <w:r>
        <w:rPr>
          <w:rFonts w:hint="eastAsia" w:ascii="楷体" w:hAnsi="楷体" w:eastAsia="楷体" w:cs="楷体"/>
          <w:bCs/>
          <w:sz w:val="24"/>
          <w:szCs w:val="24"/>
          <w:highlight w:val="none"/>
          <w:lang w:val="en-US" w:eastAsia="zh-CN"/>
        </w:rPr>
        <w:t>27</w:t>
      </w:r>
      <w:r>
        <w:rPr>
          <w:rFonts w:hint="eastAsia" w:ascii="楷体" w:hAnsi="楷体" w:eastAsia="楷体" w:cs="楷体"/>
          <w:sz w:val="24"/>
          <w:szCs w:val="24"/>
          <w:highlight w:val="none"/>
          <w:lang w:eastAsia="zh-CN"/>
        </w:rPr>
        <w:t>号文《江苏省住房和城乡建设厅关于发布建设工工程人工工资指导价的通知》执行。</w:t>
      </w:r>
    </w:p>
    <w:p w14:paraId="6C7F76D6">
      <w:pPr>
        <w:spacing w:after="0" w:line="360" w:lineRule="auto"/>
        <w:ind w:firstLine="480" w:firstLineChars="200"/>
        <w:rPr>
          <w:rFonts w:ascii="楷体" w:hAnsi="楷体" w:eastAsia="楷体" w:cs="楷体"/>
          <w:sz w:val="24"/>
          <w:szCs w:val="24"/>
          <w:lang w:eastAsia="zh-CN"/>
        </w:rPr>
      </w:pPr>
      <w:r>
        <w:rPr>
          <w:rFonts w:hint="eastAsia" w:ascii="楷体" w:hAnsi="楷体" w:eastAsia="楷体" w:cs="楷体"/>
          <w:sz w:val="24"/>
          <w:szCs w:val="24"/>
          <w:highlight w:val="none"/>
          <w:lang w:eastAsia="zh-CN"/>
        </w:rPr>
        <w:t>5、材料价格按照《常州工程造价信息》202</w:t>
      </w:r>
      <w:r>
        <w:rPr>
          <w:rFonts w:hint="eastAsia" w:ascii="楷体" w:hAnsi="楷体" w:eastAsia="楷体" w:cs="楷体"/>
          <w:sz w:val="24"/>
          <w:szCs w:val="24"/>
          <w:highlight w:val="none"/>
          <w:lang w:val="en-US" w:eastAsia="zh-CN"/>
        </w:rPr>
        <w:t>6</w:t>
      </w:r>
      <w:r>
        <w:rPr>
          <w:rFonts w:hint="eastAsia" w:ascii="楷体" w:hAnsi="楷体" w:eastAsia="楷体" w:cs="楷体"/>
          <w:sz w:val="24"/>
          <w:szCs w:val="24"/>
          <w:highlight w:val="none"/>
          <w:lang w:eastAsia="zh-CN"/>
        </w:rPr>
        <w:t>年</w:t>
      </w:r>
      <w:r>
        <w:rPr>
          <w:rFonts w:hint="eastAsia" w:ascii="楷体" w:hAnsi="楷体" w:eastAsia="楷体" w:cs="楷体"/>
          <w:sz w:val="24"/>
          <w:szCs w:val="24"/>
          <w:highlight w:val="none"/>
          <w:lang w:val="en-US" w:eastAsia="zh-CN"/>
        </w:rPr>
        <w:t>3</w:t>
      </w:r>
      <w:r>
        <w:rPr>
          <w:rFonts w:hint="eastAsia" w:ascii="楷体" w:hAnsi="楷体" w:eastAsia="楷体" w:cs="楷体"/>
          <w:sz w:val="24"/>
          <w:szCs w:val="24"/>
          <w:highlight w:val="none"/>
          <w:lang w:eastAsia="zh-CN"/>
        </w:rPr>
        <w:t>月除税</w:t>
      </w:r>
      <w:r>
        <w:rPr>
          <w:rFonts w:hint="eastAsia" w:ascii="楷体" w:hAnsi="楷体" w:eastAsia="楷体" w:cs="楷体"/>
          <w:sz w:val="24"/>
          <w:szCs w:val="24"/>
          <w:lang w:eastAsia="zh-CN"/>
        </w:rPr>
        <w:t>价格计入，本月份没有的逐月前推，信息价没有的材料价格按市场询价计入。</w:t>
      </w:r>
    </w:p>
    <w:p w14:paraId="01F2E605">
      <w:pPr>
        <w:spacing w:after="0" w:line="360" w:lineRule="auto"/>
        <w:ind w:firstLine="480" w:firstLineChars="200"/>
        <w:rPr>
          <w:rFonts w:ascii="楷体" w:hAnsi="楷体" w:eastAsia="楷体" w:cs="楷体"/>
          <w:sz w:val="24"/>
          <w:szCs w:val="24"/>
          <w:lang w:eastAsia="zh-CN"/>
        </w:rPr>
      </w:pPr>
      <w:r>
        <w:rPr>
          <w:rFonts w:hint="eastAsia" w:ascii="楷体" w:hAnsi="楷体" w:eastAsia="楷体" w:cs="楷体"/>
          <w:sz w:val="24"/>
          <w:szCs w:val="24"/>
          <w:lang w:eastAsia="zh-CN"/>
        </w:rPr>
        <w:t>6、工程类别：见各单位工程</w:t>
      </w:r>
    </w:p>
    <w:p w14:paraId="0569536A">
      <w:pPr>
        <w:spacing w:after="0" w:line="360" w:lineRule="auto"/>
        <w:ind w:firstLine="480" w:firstLineChars="200"/>
        <w:rPr>
          <w:rFonts w:ascii="楷体" w:hAnsi="楷体" w:eastAsia="楷体" w:cs="楷体"/>
          <w:sz w:val="24"/>
          <w:szCs w:val="24"/>
          <w:lang w:eastAsia="zh-CN"/>
        </w:rPr>
      </w:pPr>
      <w:r>
        <w:rPr>
          <w:rFonts w:hint="eastAsia" w:ascii="楷体" w:hAnsi="楷体" w:eastAsia="楷体" w:cs="楷体"/>
          <w:sz w:val="24"/>
          <w:szCs w:val="24"/>
          <w:lang w:eastAsia="zh-CN"/>
        </w:rPr>
        <w:t>7、本清单根据营改增后的编制规范，计税方式采用增值税一般计税模式编制。</w:t>
      </w:r>
    </w:p>
    <w:p w14:paraId="206E5895">
      <w:pPr>
        <w:spacing w:after="0" w:line="360" w:lineRule="auto"/>
        <w:ind w:firstLine="480" w:firstLineChars="200"/>
        <w:rPr>
          <w:rFonts w:ascii="楷体" w:hAnsi="楷体" w:eastAsia="楷体" w:cs="楷体"/>
          <w:sz w:val="24"/>
          <w:szCs w:val="24"/>
          <w:lang w:eastAsia="zh-CN"/>
        </w:rPr>
      </w:pPr>
      <w:r>
        <w:rPr>
          <w:rFonts w:hint="eastAsia" w:ascii="楷体" w:hAnsi="楷体" w:eastAsia="楷体" w:cs="楷体"/>
          <w:sz w:val="24"/>
          <w:szCs w:val="24"/>
          <w:lang w:eastAsia="zh-CN"/>
        </w:rPr>
        <w:t>8、暂列金额、材料暂估价、专业工程暂估价等详见工程量清单。</w:t>
      </w:r>
    </w:p>
    <w:p w14:paraId="2F585020">
      <w:pPr>
        <w:spacing w:after="0" w:line="360" w:lineRule="auto"/>
        <w:rPr>
          <w:rFonts w:ascii="楷体" w:hAnsi="楷体" w:eastAsia="楷体" w:cs="楷体"/>
          <w:sz w:val="24"/>
          <w:szCs w:val="24"/>
          <w:lang w:eastAsia="zh-CN"/>
        </w:rPr>
      </w:pPr>
      <w:r>
        <w:rPr>
          <w:rFonts w:hint="eastAsia" w:ascii="楷体" w:hAnsi="楷体" w:eastAsia="楷体" w:cs="楷体"/>
          <w:b/>
          <w:bCs/>
          <w:sz w:val="24"/>
          <w:szCs w:val="24"/>
          <w:lang w:eastAsia="zh-CN"/>
        </w:rPr>
        <w:t>三、计价说明</w:t>
      </w:r>
    </w:p>
    <w:p w14:paraId="40419EBE">
      <w:pPr>
        <w:spacing w:after="0" w:line="360" w:lineRule="auto"/>
        <w:ind w:firstLine="480" w:firstLineChars="200"/>
        <w:rPr>
          <w:rFonts w:ascii="楷体" w:hAnsi="楷体" w:eastAsia="楷体" w:cs="楷体"/>
          <w:sz w:val="24"/>
          <w:szCs w:val="24"/>
          <w:lang w:eastAsia="zh-CN"/>
        </w:rPr>
      </w:pPr>
      <w:r>
        <w:rPr>
          <w:rFonts w:hint="eastAsia" w:ascii="楷体" w:hAnsi="楷体" w:eastAsia="楷体" w:cs="楷体"/>
          <w:sz w:val="24"/>
          <w:szCs w:val="24"/>
          <w:lang w:val="en-US" w:eastAsia="zh-CN"/>
        </w:rPr>
        <w:t>1</w:t>
      </w:r>
      <w:r>
        <w:rPr>
          <w:rFonts w:hint="eastAsia" w:ascii="楷体" w:hAnsi="楷体" w:eastAsia="楷体" w:cs="楷体"/>
          <w:sz w:val="24"/>
          <w:szCs w:val="24"/>
          <w:lang w:eastAsia="zh-CN"/>
        </w:rPr>
        <w:t>、本工程分部分项单价均为完成本分项全部内容的综合单价，未列出的辅助工作、措施费均不另行计价，均在相关项目综合单价内考虑。</w:t>
      </w:r>
    </w:p>
    <w:p w14:paraId="689A6E19">
      <w:pPr>
        <w:spacing w:after="0" w:line="360" w:lineRule="auto"/>
        <w:ind w:firstLine="480" w:firstLineChars="200"/>
        <w:rPr>
          <w:rFonts w:ascii="楷体" w:hAnsi="楷体" w:eastAsia="楷体" w:cs="楷体"/>
          <w:sz w:val="24"/>
          <w:szCs w:val="24"/>
          <w:lang w:eastAsia="zh-CN"/>
        </w:rPr>
      </w:pPr>
      <w:r>
        <w:rPr>
          <w:rFonts w:hint="eastAsia" w:ascii="楷体" w:hAnsi="楷体" w:eastAsia="楷体" w:cs="楷体"/>
          <w:sz w:val="24"/>
          <w:szCs w:val="24"/>
          <w:lang w:val="en-US" w:eastAsia="zh-CN"/>
        </w:rPr>
        <w:t>2</w:t>
      </w:r>
      <w:r>
        <w:rPr>
          <w:rFonts w:hint="eastAsia" w:ascii="楷体" w:hAnsi="楷体" w:eastAsia="楷体" w:cs="楷体"/>
          <w:sz w:val="24"/>
          <w:szCs w:val="24"/>
          <w:lang w:eastAsia="zh-CN"/>
        </w:rPr>
        <w:t>、投标人须自行考虑整个施工范围内，各种建筑施工材料的运输条件、运输距离、各种可能存在的干扰因素，合理安排各种材料设备的运输方法、运输设备，并在投标报价中充分考虑相应场内、场外运输费用，材料的场内、场外运输费用、多次搬运费用，结算时均不另行计算。</w:t>
      </w:r>
    </w:p>
    <w:p w14:paraId="1AFD311D">
      <w:pPr>
        <w:spacing w:after="0" w:line="360" w:lineRule="auto"/>
        <w:ind w:firstLine="480" w:firstLineChars="200"/>
        <w:rPr>
          <w:rFonts w:ascii="楷体" w:hAnsi="楷体" w:eastAsia="楷体" w:cs="楷体"/>
          <w:sz w:val="24"/>
          <w:szCs w:val="24"/>
          <w:lang w:eastAsia="zh-CN"/>
        </w:rPr>
      </w:pPr>
      <w:r>
        <w:rPr>
          <w:rFonts w:hint="eastAsia" w:ascii="楷体" w:hAnsi="楷体" w:eastAsia="楷体" w:cs="楷体"/>
          <w:sz w:val="24"/>
          <w:szCs w:val="24"/>
          <w:lang w:val="en-US" w:eastAsia="zh-CN"/>
        </w:rPr>
        <w:t>3</w:t>
      </w:r>
      <w:r>
        <w:rPr>
          <w:rFonts w:hint="eastAsia" w:ascii="楷体" w:hAnsi="楷体" w:eastAsia="楷体" w:cs="楷体"/>
          <w:sz w:val="24"/>
          <w:szCs w:val="24"/>
          <w:lang w:eastAsia="zh-CN"/>
        </w:rPr>
        <w:t>、对已完工程及设备保护采取覆盖、包裹、封闭、隔离、不同材质、方式、方法等必要保护措施所发生的任何费用均由投标人综合考虑报价，结算时不调整。</w:t>
      </w:r>
    </w:p>
    <w:p w14:paraId="0BC00477">
      <w:pPr>
        <w:spacing w:after="0" w:line="360" w:lineRule="auto"/>
        <w:ind w:firstLine="480" w:firstLineChars="200"/>
        <w:rPr>
          <w:rFonts w:ascii="楷体" w:hAnsi="楷体" w:eastAsia="楷体" w:cs="楷体"/>
          <w:sz w:val="24"/>
          <w:szCs w:val="24"/>
          <w:lang w:eastAsia="zh-CN"/>
        </w:rPr>
      </w:pPr>
      <w:r>
        <w:rPr>
          <w:rFonts w:hint="eastAsia" w:ascii="楷体" w:hAnsi="楷体" w:eastAsia="楷体" w:cs="楷体"/>
          <w:sz w:val="24"/>
          <w:szCs w:val="24"/>
          <w:lang w:val="en-US" w:eastAsia="zh-CN"/>
        </w:rPr>
        <w:t>4</w:t>
      </w:r>
      <w:r>
        <w:rPr>
          <w:rFonts w:hint="eastAsia" w:ascii="楷体" w:hAnsi="楷体" w:eastAsia="楷体" w:cs="楷体"/>
          <w:sz w:val="24"/>
          <w:szCs w:val="24"/>
          <w:lang w:eastAsia="zh-CN"/>
        </w:rPr>
        <w:t>、投标报价依据招标文件中分部分项工程量清单项目的特征描述和施工图纸及相关计价规定计算，（当工程量清单项目特征描述不全时以施工图纸和设计说明及相关规范为准，当工程量清单项目特征描述与施工图纸不一致时以工程量清单特征描述为准）。</w:t>
      </w:r>
    </w:p>
    <w:p w14:paraId="4382690C">
      <w:pPr>
        <w:spacing w:after="0" w:line="360" w:lineRule="auto"/>
        <w:ind w:firstLine="480" w:firstLineChars="200"/>
        <w:rPr>
          <w:rFonts w:ascii="楷体" w:hAnsi="楷体" w:eastAsia="楷体" w:cs="楷体"/>
          <w:sz w:val="24"/>
          <w:szCs w:val="24"/>
          <w:lang w:eastAsia="zh-CN"/>
        </w:rPr>
      </w:pPr>
      <w:r>
        <w:rPr>
          <w:rFonts w:hint="eastAsia" w:ascii="楷体" w:hAnsi="楷体" w:eastAsia="楷体" w:cs="楷体"/>
          <w:sz w:val="24"/>
          <w:szCs w:val="24"/>
          <w:lang w:val="en-US" w:eastAsia="zh-CN"/>
        </w:rPr>
        <w:t>5</w:t>
      </w:r>
      <w:r>
        <w:rPr>
          <w:rFonts w:hint="eastAsia" w:ascii="楷体" w:hAnsi="楷体" w:eastAsia="楷体" w:cs="楷体"/>
          <w:sz w:val="24"/>
          <w:szCs w:val="24"/>
          <w:lang w:eastAsia="zh-CN"/>
        </w:rPr>
        <w:t>、投标人需在招标人提供的图纸、技术规格书的基础上进行二次深化设计的，需符合技术要求和相关标准，并必须经甲方书面确认后再施工，相关费用投标人应考虑在相应的综合单价内，结算时不单独计算。</w:t>
      </w:r>
    </w:p>
    <w:p w14:paraId="02C87877">
      <w:pPr>
        <w:spacing w:after="0" w:line="360" w:lineRule="auto"/>
        <w:ind w:firstLine="482" w:firstLineChars="200"/>
        <w:rPr>
          <w:rFonts w:ascii="楷体" w:hAnsi="楷体" w:eastAsia="楷体" w:cs="楷体"/>
          <w:b/>
          <w:bCs/>
          <w:sz w:val="24"/>
          <w:szCs w:val="24"/>
          <w:lang w:eastAsia="zh-CN"/>
        </w:rPr>
      </w:pPr>
      <w:r>
        <w:rPr>
          <w:rFonts w:hint="eastAsia" w:ascii="楷体" w:hAnsi="楷体" w:eastAsia="楷体" w:cs="楷体"/>
          <w:b/>
          <w:bCs/>
          <w:sz w:val="24"/>
          <w:szCs w:val="24"/>
          <w:lang w:eastAsia="zh-CN"/>
        </w:rPr>
        <w:t>四、其他说明</w:t>
      </w:r>
    </w:p>
    <w:p w14:paraId="1F1E01FD">
      <w:pPr>
        <w:spacing w:after="0" w:line="360" w:lineRule="auto"/>
        <w:ind w:firstLine="480" w:firstLineChars="200"/>
        <w:rPr>
          <w:rFonts w:ascii="楷体" w:hAnsi="楷体" w:eastAsia="楷体" w:cs="楷体"/>
          <w:sz w:val="24"/>
          <w:szCs w:val="24"/>
          <w:lang w:eastAsia="zh-CN"/>
        </w:rPr>
      </w:pPr>
      <w:r>
        <w:rPr>
          <w:rFonts w:hint="eastAsia" w:ascii="楷体" w:hAnsi="楷体" w:eastAsia="楷体" w:cs="楷体"/>
          <w:sz w:val="24"/>
          <w:szCs w:val="24"/>
          <w:lang w:eastAsia="zh-CN"/>
        </w:rPr>
        <w:t>1、本清单所列工程数量是根据图纸或现行情况暂定的，仅作为投标的共同基础，不能作为最终结算与支付的依据。结算与支付应以监理工程师审核并报业主现场代表认可的、按图纸和规范要求实际完成的合格工程数量为依据。完成的合格工程数量，应由承包商按监理工程师认可的尺寸断面或其他计量方法进行计量，经监理工程师审核后报业主现场代表确认，最终按工程量清单的单价和总额价进行结算和支付。工程量清单中所列工程量的变动，丝毫不会降低或影响合同条件的效力，也不免除承包商按规定的标准进行施工和修复缺陷的责任。</w:t>
      </w:r>
    </w:p>
    <w:p w14:paraId="733E32F8">
      <w:pPr>
        <w:spacing w:after="0" w:line="360" w:lineRule="auto"/>
        <w:ind w:firstLine="480" w:firstLineChars="200"/>
        <w:rPr>
          <w:rFonts w:ascii="楷体" w:hAnsi="楷体" w:eastAsia="楷体" w:cs="楷体"/>
          <w:sz w:val="24"/>
          <w:szCs w:val="24"/>
          <w:lang w:eastAsia="zh-CN"/>
        </w:rPr>
      </w:pPr>
      <w:r>
        <w:rPr>
          <w:rFonts w:hint="eastAsia" w:ascii="楷体" w:hAnsi="楷体" w:eastAsia="楷体" w:cs="楷体"/>
          <w:sz w:val="24"/>
          <w:szCs w:val="24"/>
          <w:lang w:eastAsia="zh-CN"/>
        </w:rPr>
        <w:t>2、本工程分部分项单价均为完成本分项全部内容的综合单价，未列出的辅助工作、措施费均不另行计价，均在相关项目综合单价内考虑。</w:t>
      </w:r>
    </w:p>
    <w:p w14:paraId="3A269226">
      <w:pPr>
        <w:spacing w:after="0" w:line="360" w:lineRule="auto"/>
        <w:ind w:firstLine="480" w:firstLineChars="200"/>
        <w:rPr>
          <w:rFonts w:ascii="楷体" w:hAnsi="楷体" w:eastAsia="楷体" w:cs="楷体"/>
          <w:sz w:val="24"/>
          <w:szCs w:val="24"/>
          <w:lang w:eastAsia="zh-CN"/>
        </w:rPr>
      </w:pPr>
      <w:r>
        <w:rPr>
          <w:rFonts w:hint="eastAsia" w:ascii="楷体" w:hAnsi="楷体" w:eastAsia="楷体" w:cs="楷体"/>
          <w:sz w:val="24"/>
          <w:szCs w:val="24"/>
          <w:lang w:eastAsia="zh-CN"/>
        </w:rPr>
        <w:t>3、所有按“项”为单位设置的分部分项清单和单价措施清单，投标人应充分熟悉现场情况，考虑本项目的施工组织设计和施工方案，现场根据建设方要求及相关政策法规实施，在报价中予以综合考虑，综合单价包含图纸中一切施工费用，结算时不单独计算。</w:t>
      </w:r>
    </w:p>
    <w:p w14:paraId="467E2B39">
      <w:pPr>
        <w:spacing w:after="0" w:line="360" w:lineRule="auto"/>
        <w:ind w:firstLine="480" w:firstLineChars="200"/>
        <w:rPr>
          <w:rFonts w:ascii="楷体" w:hAnsi="楷体" w:eastAsia="楷体" w:cs="楷体"/>
          <w:sz w:val="24"/>
          <w:szCs w:val="24"/>
          <w:lang w:eastAsia="zh-CN"/>
        </w:rPr>
      </w:pPr>
      <w:r>
        <w:rPr>
          <w:rFonts w:hint="eastAsia" w:ascii="楷体" w:hAnsi="楷体" w:eastAsia="楷体" w:cs="楷体"/>
          <w:sz w:val="24"/>
          <w:szCs w:val="24"/>
          <w:lang w:eastAsia="zh-CN"/>
        </w:rPr>
        <w:t>4、投标单位自行踏勘现场，投标报价综合考虑临时设施用地，若发生租赁、租地等费用，施工过程中不得以任何形式进行索赔，结算时不另行增加此项费用。</w:t>
      </w:r>
    </w:p>
    <w:p w14:paraId="494AAA3C">
      <w:pPr>
        <w:spacing w:after="0" w:line="36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lang w:eastAsia="zh-CN"/>
        </w:rPr>
        <w:t>5、施工图、招标文件、技术要求、施工规范及工程量清单中的项目特征互为补充，均作为编制投标报价的依据，工程量清单描述做法与设计图纸及相关规范不一致的，以标准要求高的为准，图纸做法中未明确或不完善事项以答疑、设计回复等为准，施工前，对于不一致的情况，承包人需通知甲方，并经甲方书面确认后再施工。不得以清单漏项、清单描述不全、清单描述前后矛盾、清单描述和设计图纸及规范不一致等为由要求增加、索赔相关费用等。</w:t>
      </w:r>
    </w:p>
    <w:p w14:paraId="78C1E09C">
      <w:pPr>
        <w:spacing w:after="0" w:line="360" w:lineRule="auto"/>
        <w:ind w:firstLine="480" w:firstLineChars="200"/>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6、变电所内基础仅施工新上3#配变基础，其余现场已有，均不考虑重新施工。</w:t>
      </w:r>
    </w:p>
    <w:p w14:paraId="1C1AC3C3">
      <w:pPr>
        <w:spacing w:after="0" w:line="360" w:lineRule="auto"/>
        <w:ind w:firstLine="480" w:firstLineChars="200"/>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7、1L6、1L7、1L8、1L10、1L11原有低压配电屏内新增预付费电表及本次新上柜体内预付费电表均需满足实现分层、分路控制目的，满足此功能如需另外新增工程量由施工单位综合考虑在清单内，包括但不限制于线缆、配管、二次安装调试、人工、机械等内容。</w:t>
      </w:r>
    </w:p>
    <w:p w14:paraId="5DA88C9E">
      <w:pPr>
        <w:numPr>
          <w:ilvl w:val="0"/>
          <w:numId w:val="1"/>
        </w:numPr>
        <w:spacing w:after="0" w:line="360" w:lineRule="auto"/>
        <w:ind w:firstLine="480" w:firstLineChars="200"/>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室外接地极利用原有。</w:t>
      </w:r>
    </w:p>
    <w:p w14:paraId="4E3144B4">
      <w:pPr>
        <w:numPr>
          <w:ilvl w:val="0"/>
          <w:numId w:val="1"/>
        </w:numPr>
        <w:spacing w:after="0" w:line="360" w:lineRule="auto"/>
        <w:ind w:firstLine="480" w:firstLineChars="200"/>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施工过程种如需停电配合施工，此部分内容由施工单位综合考虑在内投标清单内，结算不再单独计取任何费用。</w:t>
      </w:r>
    </w:p>
    <w:p w14:paraId="19CAEC46">
      <w:pPr>
        <w:numPr>
          <w:ilvl w:val="0"/>
          <w:numId w:val="1"/>
        </w:numPr>
        <w:spacing w:after="0" w:line="360" w:lineRule="auto"/>
        <w:ind w:firstLine="480" w:firstLineChars="200"/>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新增部分内容需满足图纸设计及甲方使用要求，并与原系统兼容。</w:t>
      </w:r>
    </w:p>
    <w:p w14:paraId="0E6F8DB7">
      <w:pPr>
        <w:numPr>
          <w:ilvl w:val="0"/>
          <w:numId w:val="1"/>
        </w:numPr>
        <w:spacing w:after="0" w:line="360" w:lineRule="auto"/>
        <w:ind w:firstLine="480" w:firstLineChars="200"/>
        <w:rPr>
          <w:rFonts w:hint="default" w:ascii="楷体" w:hAnsi="楷体" w:eastAsia="楷体" w:cs="楷体"/>
          <w:sz w:val="24"/>
          <w:szCs w:val="24"/>
          <w:lang w:val="en-US" w:eastAsia="zh-CN"/>
        </w:rPr>
      </w:pPr>
      <w:r>
        <w:rPr>
          <w:rFonts w:hint="default" w:ascii="楷体" w:hAnsi="楷体" w:eastAsia="楷体" w:cs="楷体"/>
          <w:sz w:val="24"/>
          <w:szCs w:val="24"/>
          <w:lang w:val="en-US" w:eastAsia="zh-CN"/>
        </w:rPr>
        <w:t>本项目拉管部分（水平导向钻进【土壤类别综合;MPP200管(壁厚16)*4,牵引施工;接口满足规范及图纸要求;含工作坑及牵引等所用工作内容;泥浆运输,运距、弃场自行考虑;具体要求详见图纸;】）按电力定额组价金额计入</w:t>
      </w:r>
      <w:r>
        <w:rPr>
          <w:rFonts w:hint="eastAsia" w:ascii="楷体" w:hAnsi="楷体" w:eastAsia="楷体" w:cs="楷体"/>
          <w:sz w:val="24"/>
          <w:szCs w:val="24"/>
          <w:lang w:val="en-US" w:eastAsia="zh-CN"/>
        </w:rPr>
        <w:t>。</w:t>
      </w:r>
    </w:p>
    <w:p w14:paraId="3F36FC1D">
      <w:pPr>
        <w:numPr>
          <w:ilvl w:val="0"/>
          <w:numId w:val="1"/>
        </w:numPr>
        <w:spacing w:after="0" w:line="360" w:lineRule="auto"/>
        <w:ind w:firstLine="480" w:firstLineChars="200"/>
        <w:rPr>
          <w:rFonts w:hint="default" w:ascii="楷体" w:hAnsi="楷体" w:eastAsia="楷体" w:cs="楷体"/>
          <w:sz w:val="24"/>
          <w:szCs w:val="24"/>
          <w:lang w:val="en-US" w:eastAsia="zh-CN"/>
        </w:rPr>
      </w:pPr>
      <w:r>
        <w:rPr>
          <w:rFonts w:hint="default" w:ascii="楷体" w:hAnsi="楷体" w:eastAsia="楷体" w:cs="楷体"/>
          <w:sz w:val="24"/>
          <w:szCs w:val="24"/>
          <w:lang w:val="en-US" w:eastAsia="zh-CN"/>
        </w:rPr>
        <w:t>本项目</w:t>
      </w:r>
      <w:r>
        <w:rPr>
          <w:rFonts w:hint="eastAsia" w:ascii="楷体" w:hAnsi="楷体" w:eastAsia="楷体" w:cs="楷体"/>
          <w:sz w:val="24"/>
          <w:szCs w:val="24"/>
          <w:lang w:val="en-US" w:eastAsia="zh-CN"/>
        </w:rPr>
        <w:t>供电电缆井井盖</w:t>
      </w:r>
      <w:r>
        <w:rPr>
          <w:rFonts w:hint="default" w:ascii="楷体" w:hAnsi="楷体" w:eastAsia="楷体" w:cs="楷体"/>
          <w:sz w:val="24"/>
          <w:szCs w:val="24"/>
          <w:lang w:val="en-US" w:eastAsia="zh-CN"/>
        </w:rPr>
        <w:t>部分</w:t>
      </w:r>
      <w:r>
        <w:rPr>
          <w:rFonts w:hint="eastAsia" w:ascii="楷体" w:hAnsi="楷体" w:eastAsia="楷体" w:cs="楷体"/>
          <w:sz w:val="24"/>
          <w:szCs w:val="24"/>
          <w:lang w:val="en-US" w:eastAsia="zh-CN"/>
        </w:rPr>
        <w:t>按照局供单价</w:t>
      </w:r>
      <w:r>
        <w:rPr>
          <w:rFonts w:hint="default" w:ascii="楷体" w:hAnsi="楷体" w:eastAsia="楷体" w:cs="楷体"/>
          <w:sz w:val="24"/>
          <w:szCs w:val="24"/>
          <w:lang w:val="en-US" w:eastAsia="zh-CN"/>
        </w:rPr>
        <w:t>计入</w:t>
      </w:r>
      <w:r>
        <w:rPr>
          <w:rFonts w:hint="eastAsia" w:ascii="楷体" w:hAnsi="楷体" w:eastAsia="楷体" w:cs="楷体"/>
          <w:sz w:val="24"/>
          <w:szCs w:val="24"/>
          <w:lang w:val="en-US" w:eastAsia="zh-CN"/>
        </w:rPr>
        <w:t>。</w:t>
      </w:r>
    </w:p>
    <w:p w14:paraId="1A0E18A7">
      <w:pPr>
        <w:numPr>
          <w:ilvl w:val="0"/>
          <w:numId w:val="1"/>
        </w:numPr>
        <w:spacing w:after="0" w:line="360" w:lineRule="auto"/>
        <w:ind w:firstLine="480" w:firstLineChars="200"/>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清单内管沟部分内容施工单位如需供电单位配合，</w:t>
      </w:r>
      <w:bookmarkStart w:id="0" w:name="_GoBack"/>
      <w:bookmarkEnd w:id="0"/>
      <w:r>
        <w:rPr>
          <w:rFonts w:hint="eastAsia" w:ascii="楷体" w:hAnsi="楷体" w:eastAsia="楷体" w:cs="楷体"/>
          <w:sz w:val="24"/>
          <w:szCs w:val="24"/>
          <w:lang w:val="en-US" w:eastAsia="zh-CN"/>
        </w:rPr>
        <w:t>需另行委托供电部门及其相关单位实施的工程量及内容由承包人负责与供电部门及其相关单位协商委托，费用包含在投标报价中，发包人不再另行支付。</w:t>
      </w:r>
    </w:p>
    <w:p w14:paraId="5E2F12EA">
      <w:pPr>
        <w:numPr>
          <w:ilvl w:val="0"/>
          <w:numId w:val="1"/>
        </w:numPr>
        <w:spacing w:after="0" w:line="360" w:lineRule="auto"/>
        <w:ind w:firstLine="480" w:firstLineChars="200"/>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箱体电气元器件、变压器、线缆、配管等均需采用有知名度品牌。</w:t>
      </w:r>
    </w:p>
    <w:p w14:paraId="09EE0DE7">
      <w:pPr>
        <w:numPr>
          <w:ilvl w:val="0"/>
          <w:numId w:val="1"/>
        </w:numPr>
        <w:spacing w:after="0" w:line="360" w:lineRule="auto"/>
        <w:ind w:firstLine="480" w:firstLineChars="200"/>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质保期内需提供配电房内相关设备（包括但不限制于变压器，高、低压配电柜等）维保服务，维保要求含正常保养等，相关检测费用均由承包人承担。实施过程中因本项目扩容供电部门需额外增加的相关费用均由承包人承担，发包人在该合同价内不再另行增加其他费用。本工程质保缺陷期为2年，缺陷期内承包人需提供配电房整体（扩容前后设施、设备）的维保工作，维保费用包含在投标报价中，发包人不再另行支付，且不再另行签订维保合同，维保质量需满足国家法律及规范要求。</w:t>
      </w:r>
    </w:p>
    <w:p w14:paraId="1B61F1C1">
      <w:pPr>
        <w:numPr>
          <w:ilvl w:val="0"/>
          <w:numId w:val="1"/>
        </w:numPr>
        <w:spacing w:after="0" w:line="360" w:lineRule="auto"/>
        <w:ind w:firstLine="480" w:firstLineChars="200"/>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受电及管沟部分人工及相关取费均采用安装工程。</w:t>
      </w:r>
    </w:p>
    <w:p w14:paraId="3B71EA15">
      <w:pPr>
        <w:spacing w:after="0" w:line="360" w:lineRule="auto"/>
        <w:ind w:firstLine="480" w:firstLineChars="200"/>
        <w:rPr>
          <w:rFonts w:hint="eastAsia" w:ascii="楷体" w:hAnsi="楷体" w:eastAsia="楷体" w:cs="楷体"/>
          <w:sz w:val="24"/>
          <w:szCs w:val="24"/>
          <w:lang w:eastAsia="zh-CN"/>
        </w:rPr>
      </w:pPr>
      <w:r>
        <w:rPr>
          <w:rFonts w:hint="eastAsia" w:ascii="楷体" w:hAnsi="楷体" w:eastAsia="楷体" w:cs="楷体"/>
          <w:sz w:val="24"/>
          <w:szCs w:val="24"/>
          <w:lang w:val="en-US" w:eastAsia="zh-CN"/>
        </w:rPr>
        <w:t>17</w:t>
      </w:r>
      <w:r>
        <w:rPr>
          <w:rFonts w:hint="eastAsia" w:ascii="楷体" w:hAnsi="楷体" w:eastAsia="楷体" w:cs="楷体"/>
          <w:sz w:val="24"/>
          <w:szCs w:val="24"/>
          <w:lang w:eastAsia="zh-CN"/>
        </w:rPr>
        <w:t>、其他未尽事宜，参照设计图纸要求。</w:t>
      </w:r>
    </w:p>
    <w:sectPr>
      <w:pgSz w:w="12240" w:h="15840"/>
      <w:pgMar w:top="1020" w:right="1134" w:bottom="850" w:left="1134" w:header="720" w:footer="720" w:gutter="0"/>
      <w:cols w:space="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E7BA0E"/>
    <w:multiLevelType w:val="singleLevel"/>
    <w:tmpl w:val="55E7BA0E"/>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DIxODY5NDQxMDNkYTdlYjZkYjIxYzgwODVkNDg1NTAifQ=="/>
  </w:docVars>
  <w:rsids>
    <w:rsidRoot w:val="00A94AF2"/>
    <w:rsid w:val="00011C65"/>
    <w:rsid w:val="000134C4"/>
    <w:rsid w:val="000356CB"/>
    <w:rsid w:val="000523AF"/>
    <w:rsid w:val="00070EFC"/>
    <w:rsid w:val="00097D26"/>
    <w:rsid w:val="000E1AED"/>
    <w:rsid w:val="000E415F"/>
    <w:rsid w:val="000F4174"/>
    <w:rsid w:val="0010016C"/>
    <w:rsid w:val="00115DB8"/>
    <w:rsid w:val="0013312A"/>
    <w:rsid w:val="00156930"/>
    <w:rsid w:val="0016621D"/>
    <w:rsid w:val="001C29A6"/>
    <w:rsid w:val="001E6AA1"/>
    <w:rsid w:val="00200303"/>
    <w:rsid w:val="00227D87"/>
    <w:rsid w:val="002D24F4"/>
    <w:rsid w:val="002E3DB1"/>
    <w:rsid w:val="0034274C"/>
    <w:rsid w:val="00346D6D"/>
    <w:rsid w:val="00347910"/>
    <w:rsid w:val="00377246"/>
    <w:rsid w:val="00390414"/>
    <w:rsid w:val="003B62BB"/>
    <w:rsid w:val="003C3A39"/>
    <w:rsid w:val="003D249A"/>
    <w:rsid w:val="003E62CE"/>
    <w:rsid w:val="00451CFF"/>
    <w:rsid w:val="004568BF"/>
    <w:rsid w:val="00491B87"/>
    <w:rsid w:val="004C71A8"/>
    <w:rsid w:val="0052472F"/>
    <w:rsid w:val="00551217"/>
    <w:rsid w:val="0055708A"/>
    <w:rsid w:val="005634C9"/>
    <w:rsid w:val="00576890"/>
    <w:rsid w:val="005825E4"/>
    <w:rsid w:val="005A0AF2"/>
    <w:rsid w:val="00631949"/>
    <w:rsid w:val="00633AF3"/>
    <w:rsid w:val="00640A33"/>
    <w:rsid w:val="00642E0A"/>
    <w:rsid w:val="00674927"/>
    <w:rsid w:val="00687E23"/>
    <w:rsid w:val="0069556D"/>
    <w:rsid w:val="006E68A9"/>
    <w:rsid w:val="006F4235"/>
    <w:rsid w:val="006F78A5"/>
    <w:rsid w:val="00700D92"/>
    <w:rsid w:val="00706271"/>
    <w:rsid w:val="00707265"/>
    <w:rsid w:val="007453AA"/>
    <w:rsid w:val="00754938"/>
    <w:rsid w:val="007902EF"/>
    <w:rsid w:val="007B1102"/>
    <w:rsid w:val="007B516F"/>
    <w:rsid w:val="007B7FC7"/>
    <w:rsid w:val="007D6B20"/>
    <w:rsid w:val="007F49C9"/>
    <w:rsid w:val="00802D44"/>
    <w:rsid w:val="00805604"/>
    <w:rsid w:val="00816637"/>
    <w:rsid w:val="008215BC"/>
    <w:rsid w:val="00830B0E"/>
    <w:rsid w:val="00843423"/>
    <w:rsid w:val="0084593E"/>
    <w:rsid w:val="00853977"/>
    <w:rsid w:val="00882B36"/>
    <w:rsid w:val="00885AE0"/>
    <w:rsid w:val="008920F9"/>
    <w:rsid w:val="008F5F52"/>
    <w:rsid w:val="008F6047"/>
    <w:rsid w:val="00903DFB"/>
    <w:rsid w:val="00957F43"/>
    <w:rsid w:val="00972DA4"/>
    <w:rsid w:val="009A2B93"/>
    <w:rsid w:val="009C427C"/>
    <w:rsid w:val="009D6C79"/>
    <w:rsid w:val="009E4A96"/>
    <w:rsid w:val="00A02F19"/>
    <w:rsid w:val="00A0439E"/>
    <w:rsid w:val="00A93F80"/>
    <w:rsid w:val="00A94AF2"/>
    <w:rsid w:val="00AB75B2"/>
    <w:rsid w:val="00B37E65"/>
    <w:rsid w:val="00BC3C3B"/>
    <w:rsid w:val="00BD595B"/>
    <w:rsid w:val="00BF73B3"/>
    <w:rsid w:val="00C52F2D"/>
    <w:rsid w:val="00C77F5F"/>
    <w:rsid w:val="00CA2934"/>
    <w:rsid w:val="00CB3B4E"/>
    <w:rsid w:val="00CC733A"/>
    <w:rsid w:val="00D324BD"/>
    <w:rsid w:val="00D37EA9"/>
    <w:rsid w:val="00D521C0"/>
    <w:rsid w:val="00D62709"/>
    <w:rsid w:val="00D67CDD"/>
    <w:rsid w:val="00D9247B"/>
    <w:rsid w:val="00DF6F1E"/>
    <w:rsid w:val="00E16782"/>
    <w:rsid w:val="00E367E4"/>
    <w:rsid w:val="00E443EC"/>
    <w:rsid w:val="00E67FCD"/>
    <w:rsid w:val="00E80320"/>
    <w:rsid w:val="00E84B97"/>
    <w:rsid w:val="00EA1E02"/>
    <w:rsid w:val="00EF5EDC"/>
    <w:rsid w:val="00F0568D"/>
    <w:rsid w:val="00F05C43"/>
    <w:rsid w:val="00F46FD8"/>
    <w:rsid w:val="00F47620"/>
    <w:rsid w:val="00F66ED3"/>
    <w:rsid w:val="00F859D0"/>
    <w:rsid w:val="00F87D77"/>
    <w:rsid w:val="00F959D5"/>
    <w:rsid w:val="00FB4B78"/>
    <w:rsid w:val="00FF7F7C"/>
    <w:rsid w:val="02A70F4C"/>
    <w:rsid w:val="035542A3"/>
    <w:rsid w:val="03965F9D"/>
    <w:rsid w:val="039E5C6E"/>
    <w:rsid w:val="03E450A2"/>
    <w:rsid w:val="04537A25"/>
    <w:rsid w:val="0474027D"/>
    <w:rsid w:val="04932CE9"/>
    <w:rsid w:val="049A3646"/>
    <w:rsid w:val="05096C17"/>
    <w:rsid w:val="05781CDF"/>
    <w:rsid w:val="05C460E0"/>
    <w:rsid w:val="061833AB"/>
    <w:rsid w:val="062023E9"/>
    <w:rsid w:val="06312F45"/>
    <w:rsid w:val="068B011B"/>
    <w:rsid w:val="068F6FCB"/>
    <w:rsid w:val="077B0190"/>
    <w:rsid w:val="07A05F9B"/>
    <w:rsid w:val="07CE5794"/>
    <w:rsid w:val="07EA2123"/>
    <w:rsid w:val="084C51EE"/>
    <w:rsid w:val="09617F99"/>
    <w:rsid w:val="09CB1C02"/>
    <w:rsid w:val="0A36742C"/>
    <w:rsid w:val="0A3E2A5F"/>
    <w:rsid w:val="0A4B4E1F"/>
    <w:rsid w:val="0A7714EB"/>
    <w:rsid w:val="0AF618DB"/>
    <w:rsid w:val="0B4364E5"/>
    <w:rsid w:val="0B61769D"/>
    <w:rsid w:val="0BFD2D4B"/>
    <w:rsid w:val="0C1C40A0"/>
    <w:rsid w:val="0C986DF0"/>
    <w:rsid w:val="0CBD5CBC"/>
    <w:rsid w:val="0CCB1DB2"/>
    <w:rsid w:val="0CD30126"/>
    <w:rsid w:val="0CF859D3"/>
    <w:rsid w:val="0CFB4820"/>
    <w:rsid w:val="0DF26CD2"/>
    <w:rsid w:val="0E6D4460"/>
    <w:rsid w:val="0F05596B"/>
    <w:rsid w:val="0F817D4B"/>
    <w:rsid w:val="10BE733F"/>
    <w:rsid w:val="10DC0EB5"/>
    <w:rsid w:val="11962F05"/>
    <w:rsid w:val="123F6589"/>
    <w:rsid w:val="129A1380"/>
    <w:rsid w:val="12A0730F"/>
    <w:rsid w:val="12BD2245"/>
    <w:rsid w:val="12CA60C1"/>
    <w:rsid w:val="12DD0D85"/>
    <w:rsid w:val="13055C75"/>
    <w:rsid w:val="13654EEB"/>
    <w:rsid w:val="13BD29A2"/>
    <w:rsid w:val="142F46DE"/>
    <w:rsid w:val="14695F39"/>
    <w:rsid w:val="14C34F24"/>
    <w:rsid w:val="14DE3A37"/>
    <w:rsid w:val="14EA13C4"/>
    <w:rsid w:val="15793835"/>
    <w:rsid w:val="15D9438B"/>
    <w:rsid w:val="1600206D"/>
    <w:rsid w:val="16356DCC"/>
    <w:rsid w:val="163C6750"/>
    <w:rsid w:val="16484DA0"/>
    <w:rsid w:val="17BA3C01"/>
    <w:rsid w:val="17F40422"/>
    <w:rsid w:val="180328A1"/>
    <w:rsid w:val="18925339"/>
    <w:rsid w:val="18B65A3E"/>
    <w:rsid w:val="19F759B4"/>
    <w:rsid w:val="1A2B79F1"/>
    <w:rsid w:val="1AAD1056"/>
    <w:rsid w:val="1ADC44A6"/>
    <w:rsid w:val="1AF50C1A"/>
    <w:rsid w:val="1B154507"/>
    <w:rsid w:val="1B356BFE"/>
    <w:rsid w:val="1B623B39"/>
    <w:rsid w:val="1BFF2380"/>
    <w:rsid w:val="1C593CCD"/>
    <w:rsid w:val="1C902538"/>
    <w:rsid w:val="1CA41229"/>
    <w:rsid w:val="1CC3161A"/>
    <w:rsid w:val="1CF2751B"/>
    <w:rsid w:val="1CF70EC4"/>
    <w:rsid w:val="1D1C0494"/>
    <w:rsid w:val="1D3D2C65"/>
    <w:rsid w:val="1E231DAF"/>
    <w:rsid w:val="1E2D20E0"/>
    <w:rsid w:val="1E871148"/>
    <w:rsid w:val="1F31724C"/>
    <w:rsid w:val="1F6560EE"/>
    <w:rsid w:val="1F6706C5"/>
    <w:rsid w:val="1F8C725E"/>
    <w:rsid w:val="1F9574C1"/>
    <w:rsid w:val="1F9E0890"/>
    <w:rsid w:val="1FCD1B5E"/>
    <w:rsid w:val="200C50DA"/>
    <w:rsid w:val="20B17014"/>
    <w:rsid w:val="21441798"/>
    <w:rsid w:val="215076E6"/>
    <w:rsid w:val="21AE2DDC"/>
    <w:rsid w:val="220F03EA"/>
    <w:rsid w:val="225A3C2E"/>
    <w:rsid w:val="22621842"/>
    <w:rsid w:val="226715E5"/>
    <w:rsid w:val="22C32593"/>
    <w:rsid w:val="22F33480"/>
    <w:rsid w:val="234C2186"/>
    <w:rsid w:val="24794C00"/>
    <w:rsid w:val="24E63ECF"/>
    <w:rsid w:val="25007499"/>
    <w:rsid w:val="25470C0F"/>
    <w:rsid w:val="270B1808"/>
    <w:rsid w:val="272E4788"/>
    <w:rsid w:val="273428D7"/>
    <w:rsid w:val="27455E2E"/>
    <w:rsid w:val="279247F0"/>
    <w:rsid w:val="27AC6192"/>
    <w:rsid w:val="28643CD3"/>
    <w:rsid w:val="28865FDD"/>
    <w:rsid w:val="28D66637"/>
    <w:rsid w:val="2926286D"/>
    <w:rsid w:val="29923FEE"/>
    <w:rsid w:val="2A4E0055"/>
    <w:rsid w:val="2A98671E"/>
    <w:rsid w:val="2B01728A"/>
    <w:rsid w:val="2B270119"/>
    <w:rsid w:val="2B527744"/>
    <w:rsid w:val="2B6D70C3"/>
    <w:rsid w:val="2B945D71"/>
    <w:rsid w:val="2C15574D"/>
    <w:rsid w:val="2C874C05"/>
    <w:rsid w:val="2CE2511F"/>
    <w:rsid w:val="2D031F0A"/>
    <w:rsid w:val="2D0701B3"/>
    <w:rsid w:val="2D7F6248"/>
    <w:rsid w:val="2E6F131C"/>
    <w:rsid w:val="2E9F7A46"/>
    <w:rsid w:val="2EC54E85"/>
    <w:rsid w:val="2F1371C7"/>
    <w:rsid w:val="2F645692"/>
    <w:rsid w:val="2FD42B28"/>
    <w:rsid w:val="302364F2"/>
    <w:rsid w:val="303B2E06"/>
    <w:rsid w:val="30A5571B"/>
    <w:rsid w:val="30E93410"/>
    <w:rsid w:val="314F59E6"/>
    <w:rsid w:val="31653D42"/>
    <w:rsid w:val="319A28FB"/>
    <w:rsid w:val="31A21688"/>
    <w:rsid w:val="31E7004C"/>
    <w:rsid w:val="320F430E"/>
    <w:rsid w:val="325356E2"/>
    <w:rsid w:val="33200C46"/>
    <w:rsid w:val="341C6876"/>
    <w:rsid w:val="34604DEE"/>
    <w:rsid w:val="35C524AB"/>
    <w:rsid w:val="35EA1366"/>
    <w:rsid w:val="36076E01"/>
    <w:rsid w:val="36160F00"/>
    <w:rsid w:val="368807E5"/>
    <w:rsid w:val="36AB44F2"/>
    <w:rsid w:val="370A3629"/>
    <w:rsid w:val="378D6F76"/>
    <w:rsid w:val="380D24DA"/>
    <w:rsid w:val="384529E0"/>
    <w:rsid w:val="385F36A4"/>
    <w:rsid w:val="386972E9"/>
    <w:rsid w:val="38C42E95"/>
    <w:rsid w:val="38D35122"/>
    <w:rsid w:val="39002EAB"/>
    <w:rsid w:val="391F2F7B"/>
    <w:rsid w:val="39557F91"/>
    <w:rsid w:val="397E1C58"/>
    <w:rsid w:val="39E531B4"/>
    <w:rsid w:val="3AB80E82"/>
    <w:rsid w:val="3AC43929"/>
    <w:rsid w:val="3ADE3A4D"/>
    <w:rsid w:val="3B442595"/>
    <w:rsid w:val="3B692756"/>
    <w:rsid w:val="3B806E1C"/>
    <w:rsid w:val="3C904DE4"/>
    <w:rsid w:val="3CBA22ED"/>
    <w:rsid w:val="3CC64655"/>
    <w:rsid w:val="3CC76AFB"/>
    <w:rsid w:val="3D003080"/>
    <w:rsid w:val="3D0F0457"/>
    <w:rsid w:val="3D6379CB"/>
    <w:rsid w:val="3DD1381D"/>
    <w:rsid w:val="3E1D6BA4"/>
    <w:rsid w:val="3E314AD1"/>
    <w:rsid w:val="3E8255EF"/>
    <w:rsid w:val="3F2F7F8B"/>
    <w:rsid w:val="3FD7589F"/>
    <w:rsid w:val="40656416"/>
    <w:rsid w:val="40717440"/>
    <w:rsid w:val="409322D7"/>
    <w:rsid w:val="40A72A25"/>
    <w:rsid w:val="40BC4452"/>
    <w:rsid w:val="40D92B8C"/>
    <w:rsid w:val="419520BE"/>
    <w:rsid w:val="424B62E8"/>
    <w:rsid w:val="429D225C"/>
    <w:rsid w:val="42B967FE"/>
    <w:rsid w:val="42E64F7F"/>
    <w:rsid w:val="431427D7"/>
    <w:rsid w:val="43163F57"/>
    <w:rsid w:val="437C770E"/>
    <w:rsid w:val="43921411"/>
    <w:rsid w:val="439C3B2E"/>
    <w:rsid w:val="44691EC0"/>
    <w:rsid w:val="44A14F0C"/>
    <w:rsid w:val="455C38E6"/>
    <w:rsid w:val="45AE1052"/>
    <w:rsid w:val="469C4526"/>
    <w:rsid w:val="46D84EE0"/>
    <w:rsid w:val="470D6339"/>
    <w:rsid w:val="47180BD4"/>
    <w:rsid w:val="475F3D89"/>
    <w:rsid w:val="47BA6093"/>
    <w:rsid w:val="47FE11B1"/>
    <w:rsid w:val="480605CE"/>
    <w:rsid w:val="48875A9E"/>
    <w:rsid w:val="488D3743"/>
    <w:rsid w:val="48B13CBF"/>
    <w:rsid w:val="48BF0B5B"/>
    <w:rsid w:val="48F0330D"/>
    <w:rsid w:val="48F12AE1"/>
    <w:rsid w:val="48F64DF8"/>
    <w:rsid w:val="49335D32"/>
    <w:rsid w:val="49463453"/>
    <w:rsid w:val="4A506C1B"/>
    <w:rsid w:val="4A606796"/>
    <w:rsid w:val="4B587D57"/>
    <w:rsid w:val="4B625815"/>
    <w:rsid w:val="4BA64872"/>
    <w:rsid w:val="4BDD112C"/>
    <w:rsid w:val="4C121D12"/>
    <w:rsid w:val="4D1F110D"/>
    <w:rsid w:val="4D214DDE"/>
    <w:rsid w:val="4E4F7040"/>
    <w:rsid w:val="4E7E4BB8"/>
    <w:rsid w:val="4EAC01FC"/>
    <w:rsid w:val="4F442940"/>
    <w:rsid w:val="4FB06F95"/>
    <w:rsid w:val="4FBE0F8F"/>
    <w:rsid w:val="4FCD2D90"/>
    <w:rsid w:val="50146707"/>
    <w:rsid w:val="504B00B2"/>
    <w:rsid w:val="505225EC"/>
    <w:rsid w:val="51441E7E"/>
    <w:rsid w:val="51A04F8E"/>
    <w:rsid w:val="51B97F06"/>
    <w:rsid w:val="520A5516"/>
    <w:rsid w:val="522E2FD1"/>
    <w:rsid w:val="525D22A8"/>
    <w:rsid w:val="527620D3"/>
    <w:rsid w:val="5289345C"/>
    <w:rsid w:val="52B40AAB"/>
    <w:rsid w:val="536410A5"/>
    <w:rsid w:val="54233E4B"/>
    <w:rsid w:val="547D0C52"/>
    <w:rsid w:val="54BB3754"/>
    <w:rsid w:val="55407F8F"/>
    <w:rsid w:val="558C7040"/>
    <w:rsid w:val="558D70F3"/>
    <w:rsid w:val="565666AB"/>
    <w:rsid w:val="5669043E"/>
    <w:rsid w:val="56E8168F"/>
    <w:rsid w:val="56FE7767"/>
    <w:rsid w:val="57372D48"/>
    <w:rsid w:val="57B572B3"/>
    <w:rsid w:val="57C620F2"/>
    <w:rsid w:val="57CF456F"/>
    <w:rsid w:val="57E236D7"/>
    <w:rsid w:val="57E5652D"/>
    <w:rsid w:val="58620810"/>
    <w:rsid w:val="58766E58"/>
    <w:rsid w:val="589F34AA"/>
    <w:rsid w:val="59503DFF"/>
    <w:rsid w:val="59B608DF"/>
    <w:rsid w:val="59D611A6"/>
    <w:rsid w:val="5AB26B9A"/>
    <w:rsid w:val="5AED6898"/>
    <w:rsid w:val="5AFD7F95"/>
    <w:rsid w:val="5B11006B"/>
    <w:rsid w:val="5B227036"/>
    <w:rsid w:val="5B3D2720"/>
    <w:rsid w:val="5B4C710F"/>
    <w:rsid w:val="5B59241C"/>
    <w:rsid w:val="5CB366CA"/>
    <w:rsid w:val="5CB57AE0"/>
    <w:rsid w:val="5D8F31C2"/>
    <w:rsid w:val="5E5C2B5E"/>
    <w:rsid w:val="5EA93E10"/>
    <w:rsid w:val="5F2E7C09"/>
    <w:rsid w:val="5F334EA3"/>
    <w:rsid w:val="5FC247DD"/>
    <w:rsid w:val="602F7B41"/>
    <w:rsid w:val="611910AB"/>
    <w:rsid w:val="614D27E6"/>
    <w:rsid w:val="61AA23B1"/>
    <w:rsid w:val="61AC2B03"/>
    <w:rsid w:val="62822142"/>
    <w:rsid w:val="62FF0E1B"/>
    <w:rsid w:val="630A4368"/>
    <w:rsid w:val="63444D15"/>
    <w:rsid w:val="63837460"/>
    <w:rsid w:val="638D42B6"/>
    <w:rsid w:val="64792B07"/>
    <w:rsid w:val="64B0455C"/>
    <w:rsid w:val="64BA38E5"/>
    <w:rsid w:val="653E09FA"/>
    <w:rsid w:val="65D721E6"/>
    <w:rsid w:val="668E608F"/>
    <w:rsid w:val="66AA5A51"/>
    <w:rsid w:val="66AF50EC"/>
    <w:rsid w:val="672F3320"/>
    <w:rsid w:val="67330816"/>
    <w:rsid w:val="67897724"/>
    <w:rsid w:val="67A05FCC"/>
    <w:rsid w:val="6814557D"/>
    <w:rsid w:val="681E3429"/>
    <w:rsid w:val="682A4F38"/>
    <w:rsid w:val="687444AF"/>
    <w:rsid w:val="68821E50"/>
    <w:rsid w:val="68822805"/>
    <w:rsid w:val="690D1337"/>
    <w:rsid w:val="693075A9"/>
    <w:rsid w:val="6962196E"/>
    <w:rsid w:val="699F49F5"/>
    <w:rsid w:val="69B304F5"/>
    <w:rsid w:val="69E124DF"/>
    <w:rsid w:val="6A612FC7"/>
    <w:rsid w:val="6AF64A41"/>
    <w:rsid w:val="6BCC71D7"/>
    <w:rsid w:val="6CC60283"/>
    <w:rsid w:val="6D1F5F0B"/>
    <w:rsid w:val="6D3261A6"/>
    <w:rsid w:val="6D3E606B"/>
    <w:rsid w:val="6D4C70C7"/>
    <w:rsid w:val="6D4D78B6"/>
    <w:rsid w:val="6D8D34BB"/>
    <w:rsid w:val="6DAF5A4B"/>
    <w:rsid w:val="6DD26258"/>
    <w:rsid w:val="6E425ABF"/>
    <w:rsid w:val="6E6C3558"/>
    <w:rsid w:val="6E75038C"/>
    <w:rsid w:val="6EBD12F0"/>
    <w:rsid w:val="6F4B2CC1"/>
    <w:rsid w:val="6F7A557A"/>
    <w:rsid w:val="70C943A3"/>
    <w:rsid w:val="716F4108"/>
    <w:rsid w:val="720F36E4"/>
    <w:rsid w:val="7219491B"/>
    <w:rsid w:val="7242215A"/>
    <w:rsid w:val="72DA4A88"/>
    <w:rsid w:val="73335F46"/>
    <w:rsid w:val="7382389A"/>
    <w:rsid w:val="73FE4F9F"/>
    <w:rsid w:val="74B5552C"/>
    <w:rsid w:val="74B55643"/>
    <w:rsid w:val="74FE2CFB"/>
    <w:rsid w:val="755D091D"/>
    <w:rsid w:val="75C650C8"/>
    <w:rsid w:val="75CD7253"/>
    <w:rsid w:val="75E93875"/>
    <w:rsid w:val="75F84586"/>
    <w:rsid w:val="75F93477"/>
    <w:rsid w:val="761279C2"/>
    <w:rsid w:val="76791691"/>
    <w:rsid w:val="76985B04"/>
    <w:rsid w:val="769F5552"/>
    <w:rsid w:val="77C60C6B"/>
    <w:rsid w:val="77DF1E38"/>
    <w:rsid w:val="780C14E9"/>
    <w:rsid w:val="785771FF"/>
    <w:rsid w:val="785B21C7"/>
    <w:rsid w:val="7884150F"/>
    <w:rsid w:val="78DD3B5C"/>
    <w:rsid w:val="790D4644"/>
    <w:rsid w:val="799C4EF5"/>
    <w:rsid w:val="79CE55A1"/>
    <w:rsid w:val="79DE4E5E"/>
    <w:rsid w:val="7A111E17"/>
    <w:rsid w:val="7A26494D"/>
    <w:rsid w:val="7AA73616"/>
    <w:rsid w:val="7ADB7565"/>
    <w:rsid w:val="7B4E0760"/>
    <w:rsid w:val="7B854CCE"/>
    <w:rsid w:val="7C3B2889"/>
    <w:rsid w:val="7CB325D7"/>
    <w:rsid w:val="7D865EF8"/>
    <w:rsid w:val="7DD17E27"/>
    <w:rsid w:val="7E5558E8"/>
    <w:rsid w:val="7E891AF6"/>
    <w:rsid w:val="7F514041"/>
    <w:rsid w:val="7FAC4F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pPr>
    <w:rPr>
      <w:rFonts w:asciiTheme="minorHAnsi" w:hAnsiTheme="minorHAnsi" w:eastAsiaTheme="minorHAnsi" w:cstheme="minorBidi"/>
      <w:sz w:val="22"/>
      <w:szCs w:val="22"/>
      <w:lang w:val="en-US" w:eastAsia="en-US" w:bidi="en-US"/>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17"/>
    <w:autoRedefine/>
    <w:semiHidden/>
    <w:unhideWhenUsed/>
    <w:qFormat/>
    <w:uiPriority w:val="99"/>
  </w:style>
  <w:style w:type="paragraph" w:styleId="3">
    <w:name w:val="Balloon Text"/>
    <w:basedOn w:val="1"/>
    <w:link w:val="15"/>
    <w:autoRedefine/>
    <w:semiHidden/>
    <w:unhideWhenUsed/>
    <w:qFormat/>
    <w:uiPriority w:val="99"/>
    <w:pPr>
      <w:spacing w:after="0" w:line="240" w:lineRule="auto"/>
    </w:pPr>
    <w:rPr>
      <w:sz w:val="18"/>
      <w:szCs w:val="18"/>
    </w:rPr>
  </w:style>
  <w:style w:type="paragraph" w:styleId="4">
    <w:name w:val="footer"/>
    <w:basedOn w:val="1"/>
    <w:link w:val="13"/>
    <w:autoRedefine/>
    <w:unhideWhenUsed/>
    <w:qFormat/>
    <w:uiPriority w:val="99"/>
    <w:pPr>
      <w:tabs>
        <w:tab w:val="center" w:pos="4153"/>
        <w:tab w:val="right" w:pos="8306"/>
      </w:tabs>
      <w:snapToGrid w:val="0"/>
      <w:spacing w:line="240" w:lineRule="auto"/>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6">
    <w:name w:val="Normal (Web)"/>
    <w:basedOn w:val="1"/>
    <w:autoRedefine/>
    <w:qFormat/>
    <w:uiPriority w:val="0"/>
    <w:pPr>
      <w:spacing w:before="100" w:beforeAutospacing="1" w:after="100" w:afterAutospacing="1"/>
    </w:pPr>
    <w:rPr>
      <w:rFonts w:cs="Times New Roman"/>
      <w:sz w:val="24"/>
      <w:lang w:eastAsia="zh-CN" w:bidi="ar-SA"/>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Emphasis"/>
    <w:basedOn w:val="9"/>
    <w:autoRedefine/>
    <w:qFormat/>
    <w:uiPriority w:val="20"/>
    <w:rPr>
      <w:i/>
    </w:rPr>
  </w:style>
  <w:style w:type="paragraph" w:customStyle="1" w:styleId="11">
    <w:name w:val="列出段落1"/>
    <w:basedOn w:val="1"/>
    <w:autoRedefine/>
    <w:qFormat/>
    <w:uiPriority w:val="99"/>
    <w:pPr>
      <w:ind w:firstLine="420" w:firstLineChars="200"/>
    </w:pPr>
  </w:style>
  <w:style w:type="character" w:customStyle="1" w:styleId="12">
    <w:name w:val="页眉 Char"/>
    <w:basedOn w:val="9"/>
    <w:link w:val="5"/>
    <w:autoRedefine/>
    <w:qFormat/>
    <w:uiPriority w:val="99"/>
    <w:rPr>
      <w:rFonts w:asciiTheme="minorHAnsi" w:hAnsiTheme="minorHAnsi" w:eastAsiaTheme="minorHAnsi" w:cstheme="minorBidi"/>
      <w:sz w:val="18"/>
      <w:szCs w:val="18"/>
      <w:lang w:eastAsia="en-US" w:bidi="en-US"/>
    </w:rPr>
  </w:style>
  <w:style w:type="character" w:customStyle="1" w:styleId="13">
    <w:name w:val="页脚 Char"/>
    <w:basedOn w:val="9"/>
    <w:link w:val="4"/>
    <w:autoRedefine/>
    <w:qFormat/>
    <w:uiPriority w:val="99"/>
    <w:rPr>
      <w:rFonts w:asciiTheme="minorHAnsi" w:hAnsiTheme="minorHAnsi" w:eastAsiaTheme="minorHAnsi" w:cstheme="minorBidi"/>
      <w:sz w:val="18"/>
      <w:szCs w:val="18"/>
      <w:lang w:eastAsia="en-US" w:bidi="en-US"/>
    </w:rPr>
  </w:style>
  <w:style w:type="paragraph" w:styleId="14">
    <w:name w:val="List Paragraph"/>
    <w:basedOn w:val="1"/>
    <w:autoRedefine/>
    <w:qFormat/>
    <w:uiPriority w:val="34"/>
    <w:pPr>
      <w:ind w:firstLine="420" w:firstLineChars="200"/>
    </w:pPr>
  </w:style>
  <w:style w:type="character" w:customStyle="1" w:styleId="15">
    <w:name w:val="批注框文本 Char"/>
    <w:basedOn w:val="9"/>
    <w:link w:val="3"/>
    <w:autoRedefine/>
    <w:semiHidden/>
    <w:qFormat/>
    <w:uiPriority w:val="99"/>
    <w:rPr>
      <w:rFonts w:asciiTheme="minorHAnsi" w:hAnsiTheme="minorHAnsi" w:eastAsiaTheme="minorHAnsi" w:cstheme="minorBidi"/>
      <w:sz w:val="18"/>
      <w:szCs w:val="18"/>
      <w:lang w:eastAsia="en-US" w:bidi="en-US"/>
    </w:rPr>
  </w:style>
  <w:style w:type="character" w:customStyle="1" w:styleId="16">
    <w:name w:val="正文文本 Char1"/>
    <w:basedOn w:val="9"/>
    <w:autoRedefine/>
    <w:qFormat/>
    <w:uiPriority w:val="0"/>
    <w:rPr>
      <w:kern w:val="2"/>
      <w:sz w:val="32"/>
      <w:szCs w:val="32"/>
    </w:rPr>
  </w:style>
  <w:style w:type="character" w:customStyle="1" w:styleId="17">
    <w:name w:val="正文文本 Char"/>
    <w:basedOn w:val="9"/>
    <w:link w:val="2"/>
    <w:autoRedefine/>
    <w:qFormat/>
    <w:uiPriority w:val="0"/>
    <w:rPr>
      <w:rFonts w:hint="eastAsia" w:ascii="宋体" w:hAnsi="宋体" w:eastAsia="宋体" w:cs="宋体"/>
      <w:sz w:val="23"/>
      <w:szCs w:val="23"/>
      <w:shd w:val="clear" w:color="auto" w:fill="FFFFFF"/>
    </w:rPr>
  </w:style>
  <w:style w:type="character" w:customStyle="1" w:styleId="18">
    <w:name w:val="正文文本 + Batang"/>
    <w:autoRedefine/>
    <w:qFormat/>
    <w:uiPriority w:val="0"/>
    <w:rPr>
      <w:rFonts w:ascii="Batang" w:eastAsia="Batang" w:cs="Batang"/>
      <w:sz w:val="21"/>
      <w:szCs w:val="21"/>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MS P????"/>
        <a:font script="Hang" typeface="?? ??"/>
        <a:font script="Hans" typeface="??"/>
        <a:font script="Hant"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MS P????"/>
        <a:font script="Hang" typeface="?? ??"/>
        <a:font script="Hans" typeface="??"/>
        <a:font script="Hant"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officegen</Company>
  <Pages>3</Pages>
  <Words>2498</Words>
  <Characters>2636</Characters>
  <Lines>25</Lines>
  <Paragraphs>7</Paragraphs>
  <TotalTime>22</TotalTime>
  <ScaleCrop>false</ScaleCrop>
  <LinksUpToDate>false</LinksUpToDate>
  <CharactersWithSpaces>2637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2019-05-20T03:12:00Z</dcterms:created>
  <dc:creator>officegen</dc:creator>
  <cp:lastModifiedBy>贝克街的猫</cp:lastModifiedBy>
  <dcterms:modified xsi:type="dcterms:W3CDTF">2026-04-07T01:25:28Z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E6046967ECD34BC89545750C4A6EDE22</vt:lpwstr>
  </property>
  <property fmtid="{D5CDD505-2E9C-101B-9397-08002B2CF9AE}" pid="4" name="commondata">
    <vt:lpwstr>eyJoZGlkIjoiZmU4M2FlZTVkMWNhMDNlYjc2YWIzMGQ0NDMwZjgwY2MifQ==</vt:lpwstr>
  </property>
  <property fmtid="{D5CDD505-2E9C-101B-9397-08002B2CF9AE}" pid="5" name="KSOTemplateDocerSaveRecord">
    <vt:lpwstr>eyJoZGlkIjoiMTQ5YmYyZTM5NGQzNmE4Yzc2NjgzNTVjNDk3NWE4M2QiLCJ1c2VySWQiOiI1NTAyMTgwOTAifQ==</vt:lpwstr>
  </property>
</Properties>
</file>